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BBF" w:rsidRDefault="00C15BBF" w:rsidP="00C15BBF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Työpaja: Saara Remes: haastavat tilanteet työyhteisösovittelussa</w:t>
      </w:r>
    </w:p>
    <w:p w:rsidR="00C15BBF" w:rsidRDefault="00C15BBF" w:rsidP="00C15BB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Muutaman keissin kautta</w:t>
      </w:r>
    </w:p>
    <w:p w:rsidR="00C15BBF" w:rsidRDefault="00C15BBF" w:rsidP="00C15BBF">
      <w:pPr>
        <w:pStyle w:val="Standard"/>
        <w:rPr>
          <w:sz w:val="30"/>
          <w:szCs w:val="30"/>
        </w:rPr>
      </w:pPr>
    </w:p>
    <w:p w:rsidR="00C15BBF" w:rsidRDefault="00C15BBF" w:rsidP="00C15BB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Tunteet, ja tunteiden käsittely, esillä </w:t>
      </w:r>
      <w:proofErr w:type="gramStart"/>
      <w:r>
        <w:rPr>
          <w:sz w:val="30"/>
          <w:szCs w:val="30"/>
        </w:rPr>
        <w:t>varsinkin</w:t>
      </w:r>
      <w:proofErr w:type="gramEnd"/>
      <w:r>
        <w:rPr>
          <w:sz w:val="30"/>
          <w:szCs w:val="30"/>
        </w:rPr>
        <w:t xml:space="preserve"> kun haastava tilanne</w:t>
      </w:r>
    </w:p>
    <w:p w:rsidR="00C15BBF" w:rsidRDefault="00C15BBF" w:rsidP="00C15BBF">
      <w:pPr>
        <w:pStyle w:val="Standard"/>
        <w:rPr>
          <w:sz w:val="30"/>
          <w:szCs w:val="30"/>
        </w:rPr>
      </w:pPr>
    </w:p>
    <w:p w:rsidR="00C15BBF" w:rsidRDefault="00C15BBF" w:rsidP="00C15BB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Luottamus, eli käänteisesti sen puute.</w:t>
      </w:r>
    </w:p>
    <w:p w:rsidR="00C15BBF" w:rsidRDefault="00C15BBF" w:rsidP="00C15BBF">
      <w:pPr>
        <w:pStyle w:val="Standard"/>
        <w:rPr>
          <w:sz w:val="30"/>
          <w:szCs w:val="30"/>
        </w:rPr>
      </w:pPr>
    </w:p>
    <w:p w:rsidR="00C15BBF" w:rsidRDefault="00C15BBF" w:rsidP="00C15BB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Luottamus sovittelijaan, menettelyyn, toivo tulevaisuuteen, tämä tärkeä elementti sen lisäksi, että luotava luottamus osapuolten väliin.</w:t>
      </w:r>
    </w:p>
    <w:p w:rsidR="00C15BBF" w:rsidRDefault="00C15BBF" w:rsidP="00C15BBF">
      <w:pPr>
        <w:pStyle w:val="Standard"/>
        <w:rPr>
          <w:sz w:val="30"/>
          <w:szCs w:val="30"/>
        </w:rPr>
      </w:pPr>
    </w:p>
    <w:p w:rsidR="00C15BBF" w:rsidRDefault="00C15BBF" w:rsidP="00C15BB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Sovittelija tekee interventioita tilanteessa, jossa on paljon tunteita; konkreettisesti tilanteessa, jossa ”surkeana oleva ihminen soimaa itseään, oli varastanut lääkkeitä työpaikalla, oli </w:t>
      </w:r>
      <w:proofErr w:type="gramStart"/>
      <w:r>
        <w:rPr>
          <w:sz w:val="30"/>
          <w:szCs w:val="30"/>
        </w:rPr>
        <w:t>päätetty</w:t>
      </w:r>
      <w:proofErr w:type="gramEnd"/>
      <w:r>
        <w:rPr>
          <w:sz w:val="30"/>
          <w:szCs w:val="30"/>
        </w:rPr>
        <w:t xml:space="preserve"> että saa jatkaa tästä huolimatta. SR sanoi, huomaan, että olet vastuuntuntoinen henkilö, sanoit ettet ole kehdannut äitiäsi katsoa silmiin pitkään aikaan → tilanne muuttui, ja keskustelu lähti käyntiin”. Pieni huomio keskustelussa työpajassa: Sovittelija ei ota kantaa vaikeissakaan tilanteissa, olisiko pitänyt kysyä; kuuletteko tässä vastuullisen henkilön puhuvan, tai 'mitä tämä osapuolen sanoma kertoo?'</w:t>
      </w:r>
    </w:p>
    <w:p w:rsidR="00C15BBF" w:rsidRDefault="00C15BBF" w:rsidP="00C15BBF">
      <w:pPr>
        <w:pStyle w:val="Standard"/>
        <w:rPr>
          <w:sz w:val="30"/>
          <w:szCs w:val="30"/>
        </w:rPr>
      </w:pPr>
    </w:p>
    <w:p w:rsidR="00C15BBF" w:rsidRDefault="00C15BBF" w:rsidP="00C15BB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Omista tunteistaan pitää olla tietoinen, miten teemme näkyväksi muiden ihmisten tunteet? Mitä tehdään, jotta tunteet eivät vello hallitsemattomasti? Sovittelijan tulee fasilitoida niin, että kykenemme puhumaan tunteista.</w:t>
      </w:r>
    </w:p>
    <w:p w:rsidR="00C15BBF" w:rsidRDefault="00C15BBF" w:rsidP="00C15BBF">
      <w:pPr>
        <w:pStyle w:val="Standard"/>
        <w:rPr>
          <w:sz w:val="30"/>
          <w:szCs w:val="30"/>
        </w:rPr>
      </w:pPr>
    </w:p>
    <w:p w:rsidR="00C15BBF" w:rsidRDefault="00C15BBF" w:rsidP="00C15BB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(Tunteet tärkeä osa työn sujumista.)</w:t>
      </w:r>
    </w:p>
    <w:p w:rsidR="00C15BBF" w:rsidRDefault="00C15BBF" w:rsidP="00C15BBF">
      <w:pPr>
        <w:pStyle w:val="Standard"/>
        <w:rPr>
          <w:sz w:val="30"/>
          <w:szCs w:val="30"/>
        </w:rPr>
      </w:pPr>
    </w:p>
    <w:p w:rsidR="00C15BBF" w:rsidRDefault="00C15BBF" w:rsidP="00C15BB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Toinen käytännön esimerkki; juonittelija (joka vaan haikailee euroja) ja haihattelija, kuten kuvasivat toisensa. Menestynyt yritys, kaksi osakasta. Eivät katsoneet toisiaan. By the </w:t>
      </w:r>
      <w:proofErr w:type="spellStart"/>
      <w:r>
        <w:rPr>
          <w:sz w:val="30"/>
          <w:szCs w:val="30"/>
        </w:rPr>
        <w:t>way</w:t>
      </w:r>
      <w:proofErr w:type="spellEnd"/>
      <w:r>
        <w:rPr>
          <w:sz w:val="30"/>
          <w:szCs w:val="30"/>
        </w:rPr>
        <w:t>, kun perustitte firman, mikä sai teidät kaksi yhdessä perustamaan firman? Mikä sai teidät silloin sopimaan? → keskustelu!</w:t>
      </w:r>
    </w:p>
    <w:p w:rsidR="00C15BBF" w:rsidRDefault="00C15BBF" w:rsidP="00C15BBF">
      <w:pPr>
        <w:pStyle w:val="Standard"/>
        <w:rPr>
          <w:sz w:val="30"/>
          <w:szCs w:val="30"/>
        </w:rPr>
      </w:pPr>
    </w:p>
    <w:p w:rsidR="00C15BBF" w:rsidRDefault="00C15BBF" w:rsidP="00C15BB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Sovittelijan interventio paikallaan, jos ”aina sinä teet noin ja et koskaan...” → sovittelija; ”anteeksi, että keskeytän, mutta mitä sinä toivoisit, mitä kaipaat?”</w:t>
      </w:r>
    </w:p>
    <w:p w:rsidR="00C15BBF" w:rsidRDefault="00C15BBF" w:rsidP="00C15BBF">
      <w:pPr>
        <w:pStyle w:val="Standard"/>
        <w:rPr>
          <w:sz w:val="30"/>
          <w:szCs w:val="30"/>
        </w:rPr>
      </w:pPr>
    </w:p>
    <w:p w:rsidR="00C15BBF" w:rsidRDefault="00C15BBF" w:rsidP="00C15BB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Tunteiden taustalla olevat 7 tarvetta:</w:t>
      </w:r>
    </w:p>
    <w:p w:rsidR="00C15BBF" w:rsidRDefault="00C15BBF" w:rsidP="00C15BBF">
      <w:pPr>
        <w:pStyle w:val="Standard"/>
        <w:rPr>
          <w:sz w:val="30"/>
          <w:szCs w:val="30"/>
        </w:rPr>
      </w:pPr>
      <w:r>
        <w:rPr>
          <w:b/>
          <w:bCs/>
          <w:sz w:val="30"/>
          <w:szCs w:val="30"/>
        </w:rPr>
        <w:t>Arvostus</w:t>
      </w:r>
      <w:r>
        <w:rPr>
          <w:sz w:val="30"/>
          <w:szCs w:val="30"/>
        </w:rPr>
        <w:t>! → tervehtimättä jättämiset</w:t>
      </w:r>
    </w:p>
    <w:p w:rsidR="00C15BBF" w:rsidRDefault="00C15BBF" w:rsidP="00C15BB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Ymmärrys  </w:t>
      </w:r>
      <w:bookmarkStart w:id="0" w:name="_GoBack"/>
      <w:bookmarkEnd w:id="0"/>
      <w:r>
        <w:rPr>
          <w:sz w:val="30"/>
          <w:szCs w:val="30"/>
        </w:rPr>
        <w:t>(= mm. joukkoon kuuluminen)</w:t>
      </w:r>
    </w:p>
    <w:p w:rsidR="00C15BBF" w:rsidRDefault="00C15BBF" w:rsidP="00C15BB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Kiinnostus</w:t>
      </w:r>
    </w:p>
    <w:p w:rsidR="00C15BBF" w:rsidRDefault="00C15BBF" w:rsidP="00C15BB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Merkitys (Platon; ”ihminen on merkitystä etsivä olento”)</w:t>
      </w:r>
    </w:p>
    <w:p w:rsidR="00C15BBF" w:rsidRDefault="00C15BBF" w:rsidP="00C15BB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Edistyminen</w:t>
      </w:r>
    </w:p>
    <w:p w:rsidR="00C15BBF" w:rsidRDefault="00C15BBF" w:rsidP="00C15BB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Reiluus/ Oikeudenmukaisuus</w:t>
      </w:r>
    </w:p>
    <w:p w:rsidR="00C15BBF" w:rsidRDefault="00C15BBF" w:rsidP="00C15BBF">
      <w:pPr>
        <w:pStyle w:val="Standard"/>
        <w:rPr>
          <w:sz w:val="30"/>
          <w:szCs w:val="30"/>
        </w:rPr>
      </w:pPr>
      <w:r>
        <w:rPr>
          <w:sz w:val="30"/>
          <w:szCs w:val="30"/>
        </w:rPr>
        <w:lastRenderedPageBreak/>
        <w:t>Hallinta/ Turvallisuus → vuorovaikutuksesta rakenteisiin, onko roolit ja odotukset tehty selviksi?</w:t>
      </w:r>
    </w:p>
    <w:p w:rsidR="00C15BBF" w:rsidRDefault="00C15BBF" w:rsidP="00C15BBF">
      <w:pPr>
        <w:pStyle w:val="Standard"/>
        <w:rPr>
          <w:sz w:val="30"/>
          <w:szCs w:val="30"/>
        </w:rPr>
      </w:pPr>
    </w:p>
    <w:p w:rsidR="00C15BBF" w:rsidRDefault="00C15BBF" w:rsidP="00C15BB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Kolmas esimerkki: Alainen (asiantuntija) koki että esimies kiusasi hienovaraisesti (ei huutamista, vaan mielipiteitä vähätellään, kyseenalaistetaan muiden kuullen. Esimies oli toivottanut hyvää joulua kaikille muille. → kun pelkäsi esimiehen kostoa; kaksi tuntia käytettiin sen käsittelemiseksi yksin loukatun kanssa, mikä kosto voisi olla? Kun saa puhua, yleensä huoli vähenee ja ilo ja positiivisuus kasvaa, ja uskaltaakin puhua.</w:t>
      </w:r>
    </w:p>
    <w:p w:rsidR="00C15BBF" w:rsidRDefault="00C15BBF" w:rsidP="00C15BBF">
      <w:pPr>
        <w:pStyle w:val="Standard"/>
        <w:rPr>
          <w:sz w:val="30"/>
          <w:szCs w:val="30"/>
        </w:rPr>
      </w:pPr>
    </w:p>
    <w:p w:rsidR="00C15BBF" w:rsidRDefault="00C15BBF" w:rsidP="00C15BBF">
      <w:pPr>
        <w:pStyle w:val="Standard"/>
        <w:rPr>
          <w:sz w:val="30"/>
          <w:szCs w:val="30"/>
        </w:rPr>
      </w:pPr>
    </w:p>
    <w:p w:rsidR="002D249C" w:rsidRDefault="00C15BBF"/>
    <w:sectPr w:rsidR="002D24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BF"/>
    <w:rsid w:val="00C15BBF"/>
    <w:rsid w:val="00EE286C"/>
    <w:rsid w:val="00F9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CDC2"/>
  <w15:chartTrackingRefBased/>
  <w15:docId w15:val="{FD1E5EAB-B8A5-4FC6-87BF-A913604A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C15BBF"/>
    <w:pPr>
      <w:widowControl w:val="0"/>
      <w:tabs>
        <w:tab w:val="left" w:pos="0"/>
        <w:tab w:val="left" w:pos="1298"/>
        <w:tab w:val="left" w:pos="2597"/>
        <w:tab w:val="left" w:pos="3895"/>
        <w:tab w:val="left" w:pos="5193"/>
        <w:tab w:val="left" w:pos="6491"/>
        <w:tab w:val="left" w:pos="7790"/>
        <w:tab w:val="left" w:pos="9088"/>
      </w:tabs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Gellin</dc:creator>
  <cp:keywords/>
  <dc:description/>
  <cp:lastModifiedBy>Jens Gellin</cp:lastModifiedBy>
  <cp:revision>1</cp:revision>
  <dcterms:created xsi:type="dcterms:W3CDTF">2019-02-09T11:12:00Z</dcterms:created>
  <dcterms:modified xsi:type="dcterms:W3CDTF">2019-02-09T11:14:00Z</dcterms:modified>
</cp:coreProperties>
</file>